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936"/>
        <w:gridCol w:w="2906"/>
        <w:gridCol w:w="1256"/>
        <w:gridCol w:w="1134"/>
        <w:gridCol w:w="1134"/>
        <w:gridCol w:w="1276"/>
        <w:gridCol w:w="1134"/>
      </w:tblGrid>
      <w:tr w:rsidR="0076184E" w:rsidRPr="00915B20" w:rsidTr="00B208D3">
        <w:trPr>
          <w:trHeight w:val="375"/>
        </w:trPr>
        <w:tc>
          <w:tcPr>
            <w:tcW w:w="936" w:type="dxa"/>
            <w:tcBorders>
              <w:bottom w:val="single" w:sz="4" w:space="0" w:color="auto"/>
            </w:tcBorders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4162" w:type="dxa"/>
            <w:gridSpan w:val="2"/>
            <w:tcBorders>
              <w:bottom w:val="single" w:sz="4" w:space="0" w:color="auto"/>
            </w:tcBorders>
            <w:shd w:val="pct30" w:color="auto" w:fill="auto"/>
            <w:noWrap/>
            <w:hideMark/>
          </w:tcPr>
          <w:p w:rsidR="00053379" w:rsidRPr="000D5988" w:rsidRDefault="00053379" w:rsidP="00434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Comparative 2019 Sample Fees for </w:t>
            </w:r>
            <w:r w:rsidRPr="000D5988">
              <w:rPr>
                <w:b/>
                <w:bCs/>
                <w:sz w:val="24"/>
                <w:szCs w:val="24"/>
              </w:rPr>
              <w:t>General Dentists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30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tcBorders>
              <w:bottom w:val="single" w:sz="4" w:space="0" w:color="auto"/>
            </w:tcBorders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053379" w:rsidRPr="00053379" w:rsidRDefault="00053379">
            <w:pPr>
              <w:rPr>
                <w:b/>
              </w:rPr>
            </w:pPr>
            <w:r w:rsidRPr="00053379">
              <w:rPr>
                <w:b/>
              </w:rPr>
              <w:t>MCCSS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 w:rsidP="00C74E00">
            <w:pPr>
              <w:jc w:val="center"/>
              <w:rPr>
                <w:b/>
                <w:bCs/>
              </w:rPr>
            </w:pPr>
            <w:r w:rsidRPr="00915B20">
              <w:rPr>
                <w:b/>
                <w:bCs/>
              </w:rPr>
              <w:t>Code</w:t>
            </w:r>
          </w:p>
        </w:tc>
        <w:tc>
          <w:tcPr>
            <w:tcW w:w="2906" w:type="dxa"/>
            <w:shd w:val="pct30" w:color="auto" w:fill="auto"/>
            <w:noWrap/>
            <w:hideMark/>
          </w:tcPr>
          <w:p w:rsidR="00053379" w:rsidRPr="00915B20" w:rsidRDefault="00053379" w:rsidP="00EB4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Procedure </w:t>
            </w:r>
            <w:r w:rsidRPr="00915B20">
              <w:rPr>
                <w:b/>
                <w:bCs/>
              </w:rPr>
              <w:t>Description</w:t>
            </w:r>
          </w:p>
        </w:tc>
        <w:tc>
          <w:tcPr>
            <w:tcW w:w="1256" w:type="dxa"/>
            <w:shd w:val="pct30" w:color="auto" w:fill="auto"/>
            <w:noWrap/>
            <w:hideMark/>
          </w:tcPr>
          <w:p w:rsidR="00053379" w:rsidRPr="00915B20" w:rsidRDefault="00053379" w:rsidP="006044AE">
            <w:pPr>
              <w:jc w:val="center"/>
              <w:rPr>
                <w:b/>
                <w:bCs/>
              </w:rPr>
            </w:pPr>
            <w:r w:rsidRPr="00915B20">
              <w:rPr>
                <w:b/>
                <w:bCs/>
              </w:rPr>
              <w:t>BC</w:t>
            </w:r>
          </w:p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 w:rsidP="006044AE">
            <w:pPr>
              <w:jc w:val="center"/>
              <w:rPr>
                <w:b/>
                <w:bCs/>
              </w:rPr>
            </w:pPr>
            <w:r w:rsidRPr="00915B20">
              <w:rPr>
                <w:b/>
                <w:bCs/>
              </w:rPr>
              <w:t>AL</w:t>
            </w:r>
          </w:p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 w:rsidP="006044AE">
            <w:pPr>
              <w:jc w:val="center"/>
              <w:rPr>
                <w:b/>
                <w:bCs/>
              </w:rPr>
            </w:pPr>
            <w:r w:rsidRPr="00915B20">
              <w:rPr>
                <w:b/>
                <w:bCs/>
              </w:rPr>
              <w:t>NS</w:t>
            </w:r>
          </w:p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 w:rsidP="006044AE">
            <w:pPr>
              <w:jc w:val="center"/>
              <w:rPr>
                <w:b/>
                <w:bCs/>
              </w:rPr>
            </w:pPr>
            <w:r w:rsidRPr="00915B20">
              <w:rPr>
                <w:b/>
                <w:bCs/>
              </w:rPr>
              <w:t>ON</w:t>
            </w:r>
          </w:p>
        </w:tc>
        <w:tc>
          <w:tcPr>
            <w:tcW w:w="1134" w:type="dxa"/>
            <w:shd w:val="pct30" w:color="auto" w:fill="auto"/>
          </w:tcPr>
          <w:p w:rsidR="00053379" w:rsidRPr="00915B20" w:rsidRDefault="00053379" w:rsidP="0060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  <w:r w:rsidRPr="00915B20">
              <w:rPr>
                <w:b/>
                <w:bCs/>
              </w:rPr>
              <w:t>Examinations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01201</w:t>
            </w:r>
          </w:p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r w:rsidRPr="00915B20">
              <w:t>Initial New Patient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 w:rsidP="00E3313D">
            <w:pPr>
              <w:jc w:val="right"/>
            </w:pPr>
            <w:r w:rsidRPr="00915B20">
              <w:t>$45.30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E3313D">
            <w:pPr>
              <w:jc w:val="right"/>
            </w:pPr>
            <w:r w:rsidRPr="00915B20">
              <w:t>$75.36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E3313D">
            <w:pPr>
              <w:jc w:val="center"/>
            </w:pPr>
            <w:r w:rsidRPr="00915B20">
              <w:t>--------</w:t>
            </w:r>
          </w:p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E3313D" w:rsidP="00E3313D">
            <w:pPr>
              <w:jc w:val="center"/>
            </w:pPr>
            <w:r>
              <w:t>---------</w:t>
            </w:r>
          </w:p>
        </w:tc>
        <w:tc>
          <w:tcPr>
            <w:tcW w:w="1134" w:type="dxa"/>
            <w:shd w:val="pct15" w:color="auto" w:fill="auto"/>
          </w:tcPr>
          <w:p w:rsidR="00053379" w:rsidRPr="00915B20" w:rsidRDefault="00E3313D" w:rsidP="00E3313D">
            <w:pPr>
              <w:jc w:val="center"/>
            </w:pPr>
            <w:r>
              <w:t>---------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01204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>
            <w:r w:rsidRPr="00915B20">
              <w:t>Specific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E3313D">
            <w:pPr>
              <w:jc w:val="right"/>
            </w:pPr>
            <w:r w:rsidRPr="00915B20">
              <w:t>$38.90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E3313D">
            <w:pPr>
              <w:jc w:val="right"/>
            </w:pPr>
            <w:r w:rsidRPr="00915B20">
              <w:t>$64.24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E3313D">
            <w:pPr>
              <w:jc w:val="right"/>
            </w:pPr>
            <w:r w:rsidRPr="00915B20">
              <w:t>$50.00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E3313D" w:rsidP="00E3313D">
            <w:pPr>
              <w:jc w:val="right"/>
            </w:pPr>
            <w:r>
              <w:t>$45.00-130.00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053379" w:rsidRPr="00915B20" w:rsidRDefault="00E3313D" w:rsidP="00E3313D">
            <w:pPr>
              <w:jc w:val="right"/>
            </w:pPr>
            <w:r>
              <w:t>$19.00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30" w:color="auto" w:fill="auto"/>
            <w:noWrap/>
            <w:hideMark/>
          </w:tcPr>
          <w:p w:rsidR="00053379" w:rsidRPr="00915B20" w:rsidRDefault="00053379" w:rsidP="00915B20"/>
        </w:tc>
        <w:tc>
          <w:tcPr>
            <w:tcW w:w="125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  <w:r w:rsidRPr="00915B20">
              <w:rPr>
                <w:b/>
                <w:bCs/>
              </w:rPr>
              <w:t>Scaling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11111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>
            <w:r w:rsidRPr="00915B20">
              <w:t>1 Unit - 15 minutes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$45.50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$67.16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$43.00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F46B92" w:rsidP="00F46B92">
            <w:pPr>
              <w:jc w:val="right"/>
            </w:pPr>
            <w:r>
              <w:t>$57.00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053379" w:rsidRPr="00915B20" w:rsidRDefault="00E3313D" w:rsidP="00F46B92">
            <w:pPr>
              <w:jc w:val="right"/>
            </w:pPr>
            <w:r>
              <w:t>$38.00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30" w:color="auto" w:fill="auto"/>
            <w:noWrap/>
            <w:hideMark/>
          </w:tcPr>
          <w:p w:rsidR="00053379" w:rsidRPr="00915B20" w:rsidRDefault="00053379" w:rsidP="00915B20"/>
        </w:tc>
        <w:tc>
          <w:tcPr>
            <w:tcW w:w="125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  <w:r w:rsidRPr="00915B20">
              <w:rPr>
                <w:b/>
                <w:bCs/>
              </w:rPr>
              <w:t>Radiographs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02112</w:t>
            </w:r>
          </w:p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r w:rsidRPr="00915B20">
              <w:t>Two Images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$23.70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$47.50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$24.00</w:t>
            </w:r>
          </w:p>
        </w:tc>
        <w:tc>
          <w:tcPr>
            <w:tcW w:w="1276" w:type="dxa"/>
            <w:shd w:val="pct15" w:color="auto" w:fill="auto"/>
            <w:noWrap/>
            <w:hideMark/>
          </w:tcPr>
          <w:p w:rsidR="00F46B92" w:rsidRPr="00915B20" w:rsidRDefault="00F46B92" w:rsidP="00F46B92">
            <w:pPr>
              <w:jc w:val="right"/>
            </w:pPr>
            <w:r>
              <w:t>$34.00</w:t>
            </w:r>
          </w:p>
        </w:tc>
        <w:tc>
          <w:tcPr>
            <w:tcW w:w="1134" w:type="dxa"/>
            <w:shd w:val="pct15" w:color="auto" w:fill="auto"/>
          </w:tcPr>
          <w:p w:rsidR="00053379" w:rsidRPr="00915B20" w:rsidRDefault="00E3313D" w:rsidP="00F46B92">
            <w:pPr>
              <w:jc w:val="right"/>
            </w:pPr>
            <w:r>
              <w:t>$16.33</w:t>
            </w:r>
          </w:p>
        </w:tc>
      </w:tr>
      <w:tr w:rsidR="0076184E" w:rsidRPr="00915B20" w:rsidTr="00B208D3">
        <w:trPr>
          <w:trHeight w:val="555"/>
        </w:trPr>
        <w:tc>
          <w:tcPr>
            <w:tcW w:w="93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02102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053379" w:rsidRPr="00915B20" w:rsidRDefault="00053379">
            <w:r w:rsidRPr="00915B20">
              <w:t>Complete Set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$95.00 + Materials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$198.80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B92">
            <w:pPr>
              <w:jc w:val="right"/>
            </w:pPr>
            <w:r w:rsidRPr="00915B20">
              <w:t>$108.00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F46B92" w:rsidP="00F46B92">
            <w:pPr>
              <w:jc w:val="right"/>
            </w:pPr>
            <w:r>
              <w:t>$138.00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53379" w:rsidRPr="00915B20" w:rsidRDefault="00E3313D" w:rsidP="00F46B92">
            <w:pPr>
              <w:jc w:val="center"/>
            </w:pPr>
            <w:r>
              <w:t>---------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30" w:color="auto" w:fill="auto"/>
            <w:hideMark/>
          </w:tcPr>
          <w:p w:rsidR="00053379" w:rsidRPr="00915B20" w:rsidRDefault="00053379" w:rsidP="00915B20"/>
        </w:tc>
        <w:tc>
          <w:tcPr>
            <w:tcW w:w="1256" w:type="dxa"/>
            <w:shd w:val="pct30" w:color="auto" w:fill="auto"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  <w:r w:rsidRPr="00915B20">
              <w:rPr>
                <w:b/>
                <w:bCs/>
              </w:rPr>
              <w:t>Amalgam Restorations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21213</w:t>
            </w:r>
          </w:p>
        </w:tc>
        <w:tc>
          <w:tcPr>
            <w:tcW w:w="2906" w:type="dxa"/>
            <w:shd w:val="pct15" w:color="auto" w:fill="auto"/>
            <w:hideMark/>
          </w:tcPr>
          <w:p w:rsidR="00053379" w:rsidRPr="00915B20" w:rsidRDefault="00053379">
            <w:r w:rsidRPr="00915B20">
              <w:t>Anterior/Bicuspids - 3 surfaces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 w:rsidP="00F461E8">
            <w:pPr>
              <w:jc w:val="right"/>
            </w:pPr>
            <w:r w:rsidRPr="00915B20">
              <w:t>$185.00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F461E8">
            <w:pPr>
              <w:jc w:val="right"/>
            </w:pPr>
            <w:r w:rsidRPr="00915B20">
              <w:t>$188.29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F461E8">
            <w:pPr>
              <w:jc w:val="right"/>
            </w:pPr>
            <w:r w:rsidRPr="00915B20">
              <w:t>$199.00</w:t>
            </w:r>
          </w:p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F461E8" w:rsidP="00F461E8">
            <w:pPr>
              <w:jc w:val="right"/>
            </w:pPr>
            <w:r>
              <w:t>$234.00</w:t>
            </w:r>
          </w:p>
        </w:tc>
        <w:tc>
          <w:tcPr>
            <w:tcW w:w="1134" w:type="dxa"/>
            <w:shd w:val="pct15" w:color="auto" w:fill="auto"/>
          </w:tcPr>
          <w:p w:rsidR="00053379" w:rsidRPr="00915B20" w:rsidRDefault="00F461E8" w:rsidP="00F461E8">
            <w:pPr>
              <w:jc w:val="right"/>
            </w:pPr>
            <w:r>
              <w:t>$63.35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21223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>
            <w:r w:rsidRPr="00915B20">
              <w:t>Molar - 3 surfaces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1E8">
            <w:pPr>
              <w:jc w:val="right"/>
            </w:pPr>
            <w:r w:rsidRPr="00915B20">
              <w:t>$216.00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1E8">
            <w:pPr>
              <w:jc w:val="right"/>
            </w:pPr>
            <w:r w:rsidRPr="00915B20">
              <w:t>$192.29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F461E8">
            <w:pPr>
              <w:jc w:val="right"/>
            </w:pPr>
            <w:r w:rsidRPr="00915B20">
              <w:t>$208.00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F461E8" w:rsidP="00F461E8">
            <w:pPr>
              <w:jc w:val="right"/>
            </w:pPr>
            <w:r>
              <w:t>$284.00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053379" w:rsidRPr="00915B20" w:rsidRDefault="00F461E8" w:rsidP="00F461E8">
            <w:pPr>
              <w:jc w:val="right"/>
            </w:pPr>
            <w:r>
              <w:t>$79.35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30" w:color="auto" w:fill="auto"/>
            <w:noWrap/>
            <w:hideMark/>
          </w:tcPr>
          <w:p w:rsidR="00053379" w:rsidRPr="00915B20" w:rsidRDefault="00053379" w:rsidP="00915B20"/>
        </w:tc>
        <w:tc>
          <w:tcPr>
            <w:tcW w:w="125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EB3C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Crown (Single </w:t>
            </w:r>
            <w:bookmarkStart w:id="0" w:name="_GoBack"/>
            <w:bookmarkEnd w:id="0"/>
            <w:r w:rsidR="00053379" w:rsidRPr="00915B20">
              <w:rPr>
                <w:b/>
                <w:bCs/>
              </w:rPr>
              <w:t>Restoration)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600"/>
        </w:trPr>
        <w:tc>
          <w:tcPr>
            <w:tcW w:w="93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27211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053379" w:rsidRPr="00915B20" w:rsidRDefault="00053379">
            <w:r w:rsidRPr="00915B20">
              <w:t>Porcelain / Ceramic / Polymer Glass Fused to Metal Base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053379" w:rsidRPr="00915B20" w:rsidRDefault="0076184E" w:rsidP="004866E4">
            <w:pPr>
              <w:jc w:val="right"/>
            </w:pPr>
            <w:r>
              <w:t xml:space="preserve"> </w:t>
            </w:r>
            <w:r w:rsidR="00053379" w:rsidRPr="00915B20">
              <w:t>$816.00 + Lab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053379" w:rsidRPr="00915B20" w:rsidRDefault="00053379" w:rsidP="004866E4">
            <w:pPr>
              <w:jc w:val="right"/>
            </w:pPr>
            <w:r w:rsidRPr="00915B20">
              <w:t>$825.44 + Lab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053379" w:rsidRPr="00915B20" w:rsidRDefault="00053379" w:rsidP="004866E4">
            <w:pPr>
              <w:jc w:val="right"/>
            </w:pPr>
            <w:r w:rsidRPr="00915B20">
              <w:t>$711.00 + Lab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053379" w:rsidRPr="00915B20" w:rsidRDefault="00B208D3" w:rsidP="004866E4">
            <w:pPr>
              <w:jc w:val="right"/>
            </w:pPr>
            <w:r>
              <w:t xml:space="preserve">  </w:t>
            </w:r>
            <w:r w:rsidR="004866E4">
              <w:t>$769</w:t>
            </w:r>
            <w:r w:rsidR="004866E4" w:rsidRPr="00915B20">
              <w:t>.00 + Lab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:rsidR="00053379" w:rsidRPr="00915B20" w:rsidRDefault="00B208D3" w:rsidP="00B208D3">
            <w:pPr>
              <w:jc w:val="right"/>
            </w:pPr>
            <w:r>
              <w:t>$443.4</w:t>
            </w:r>
            <w:r w:rsidR="004866E4">
              <w:t>3</w:t>
            </w:r>
            <w:r w:rsidR="004866E4" w:rsidRPr="00915B20">
              <w:t xml:space="preserve"> + Lab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30" w:color="auto" w:fill="auto"/>
            <w:noWrap/>
            <w:hideMark/>
          </w:tcPr>
          <w:p w:rsidR="00053379" w:rsidRPr="00915B20" w:rsidRDefault="00053379" w:rsidP="00915B20"/>
        </w:tc>
        <w:tc>
          <w:tcPr>
            <w:tcW w:w="125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9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hideMark/>
          </w:tcPr>
          <w:p w:rsidR="00053379" w:rsidRPr="00915B20" w:rsidRDefault="00053379">
            <w:pPr>
              <w:rPr>
                <w:b/>
                <w:bCs/>
              </w:rPr>
            </w:pPr>
            <w:r w:rsidRPr="00915B20">
              <w:rPr>
                <w:b/>
                <w:bCs/>
              </w:rPr>
              <w:t>Dentures - Partial, Tooth-Borne, Cast Frame/Connector, Clasps and Rests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B208D3">
            <w:r>
              <w:t xml:space="preserve"> </w:t>
            </w:r>
          </w:p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600"/>
        </w:trPr>
        <w:tc>
          <w:tcPr>
            <w:tcW w:w="936" w:type="dxa"/>
            <w:shd w:val="pct15" w:color="auto" w:fill="auto"/>
            <w:noWrap/>
            <w:hideMark/>
          </w:tcPr>
          <w:p w:rsidR="00CC2C31" w:rsidRPr="00915B20" w:rsidRDefault="00CC2C31" w:rsidP="00CC2C31">
            <w:r w:rsidRPr="00915B20">
              <w:t>53101</w:t>
            </w:r>
          </w:p>
        </w:tc>
        <w:tc>
          <w:tcPr>
            <w:tcW w:w="2906" w:type="dxa"/>
            <w:shd w:val="pct15" w:color="auto" w:fill="auto"/>
            <w:noWrap/>
            <w:hideMark/>
          </w:tcPr>
          <w:p w:rsidR="00CC2C31" w:rsidRPr="00915B20" w:rsidRDefault="00CC2C31" w:rsidP="00CC2C31">
            <w:r w:rsidRPr="00915B20">
              <w:t>Maxillary (Upper)</w:t>
            </w:r>
          </w:p>
        </w:tc>
        <w:tc>
          <w:tcPr>
            <w:tcW w:w="1256" w:type="dxa"/>
            <w:shd w:val="pct15" w:color="auto" w:fill="auto"/>
            <w:hideMark/>
          </w:tcPr>
          <w:p w:rsidR="00CC2C31" w:rsidRPr="00915B20" w:rsidRDefault="0076184E" w:rsidP="00CC2C31">
            <w:pPr>
              <w:jc w:val="right"/>
            </w:pPr>
            <w:r>
              <w:t xml:space="preserve"> </w:t>
            </w:r>
            <w:r w:rsidR="00CC2C31" w:rsidRPr="00915B20">
              <w:t>$986.00 + Lab</w:t>
            </w:r>
          </w:p>
        </w:tc>
        <w:tc>
          <w:tcPr>
            <w:tcW w:w="1134" w:type="dxa"/>
            <w:shd w:val="pct15" w:color="auto" w:fill="auto"/>
            <w:hideMark/>
          </w:tcPr>
          <w:p w:rsidR="00CC2C31" w:rsidRPr="00915B20" w:rsidRDefault="00CC2C31" w:rsidP="00CC2C31">
            <w:pPr>
              <w:jc w:val="right"/>
            </w:pPr>
            <w:r w:rsidRPr="00915B20">
              <w:t>$959.13 + Lab</w:t>
            </w:r>
          </w:p>
        </w:tc>
        <w:tc>
          <w:tcPr>
            <w:tcW w:w="1134" w:type="dxa"/>
            <w:shd w:val="pct15" w:color="auto" w:fill="auto"/>
            <w:hideMark/>
          </w:tcPr>
          <w:p w:rsidR="00CC2C31" w:rsidRPr="00915B20" w:rsidRDefault="00CC2C31" w:rsidP="00CC2C31">
            <w:pPr>
              <w:jc w:val="right"/>
            </w:pPr>
            <w:r w:rsidRPr="00915B20">
              <w:t>$960.00 + Lab</w:t>
            </w:r>
          </w:p>
        </w:tc>
        <w:tc>
          <w:tcPr>
            <w:tcW w:w="1276" w:type="dxa"/>
            <w:shd w:val="pct15" w:color="auto" w:fill="auto"/>
            <w:noWrap/>
            <w:hideMark/>
          </w:tcPr>
          <w:p w:rsidR="00CC2C31" w:rsidRPr="00915B20" w:rsidRDefault="00CC2C31" w:rsidP="00CC2C31">
            <w:pPr>
              <w:jc w:val="right"/>
            </w:pPr>
            <w:r>
              <w:t>$1,065</w:t>
            </w:r>
            <w:r w:rsidRPr="00915B20">
              <w:t>.0</w:t>
            </w:r>
            <w:r w:rsidR="009B3535">
              <w:t>0</w:t>
            </w:r>
            <w:r w:rsidRPr="00915B20">
              <w:t>+ Lab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CC2C31" w:rsidRPr="00915B20" w:rsidRDefault="00CC2C31" w:rsidP="00CC2C31">
            <w:pPr>
              <w:jc w:val="center"/>
            </w:pPr>
            <w:r>
              <w:t>---------</w:t>
            </w:r>
          </w:p>
        </w:tc>
      </w:tr>
      <w:tr w:rsidR="0076184E" w:rsidRPr="00915B20" w:rsidTr="00B208D3">
        <w:trPr>
          <w:trHeight w:val="600"/>
        </w:trPr>
        <w:tc>
          <w:tcPr>
            <w:tcW w:w="93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CC2C31" w:rsidRPr="00915B20" w:rsidRDefault="00CC2C31" w:rsidP="00CC2C31">
            <w:r w:rsidRPr="00915B20">
              <w:t>53102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CC2C31" w:rsidRPr="00915B20" w:rsidRDefault="00CC2C31" w:rsidP="00CC2C31">
            <w:r w:rsidRPr="00915B20">
              <w:t>Mandibular (Lower)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CC2C31" w:rsidRPr="00915B20" w:rsidRDefault="00CC2C31" w:rsidP="00CC2C31">
            <w:pPr>
              <w:jc w:val="right"/>
            </w:pPr>
            <w:r w:rsidRPr="00915B20">
              <w:t>$1</w:t>
            </w:r>
            <w:r w:rsidR="0076184E">
              <w:t>,</w:t>
            </w:r>
            <w:r w:rsidRPr="00915B20">
              <w:t>075.00 + Lab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CC2C31" w:rsidRPr="00915B20" w:rsidRDefault="00CC2C31" w:rsidP="00CC2C31">
            <w:pPr>
              <w:jc w:val="right"/>
            </w:pPr>
            <w:r w:rsidRPr="00915B20">
              <w:t>$959.13 + Lab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hideMark/>
          </w:tcPr>
          <w:p w:rsidR="00CC2C31" w:rsidRPr="00915B20" w:rsidRDefault="00CC2C31" w:rsidP="00CC2C31">
            <w:pPr>
              <w:jc w:val="right"/>
            </w:pPr>
            <w:r w:rsidRPr="00915B20">
              <w:t>$960.00 + Lab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  <w:noWrap/>
            <w:hideMark/>
          </w:tcPr>
          <w:p w:rsidR="00CC2C31" w:rsidRPr="00915B20" w:rsidRDefault="00A82EC7" w:rsidP="00CC2C31">
            <w:pPr>
              <w:jc w:val="right"/>
            </w:pPr>
            <w:r>
              <w:t>$1,065</w:t>
            </w:r>
            <w:r w:rsidR="00CC2C31" w:rsidRPr="00915B20">
              <w:t xml:space="preserve">.00 </w:t>
            </w:r>
            <w:r>
              <w:t xml:space="preserve"> </w:t>
            </w:r>
            <w:r w:rsidR="00CC2C31" w:rsidRPr="00915B20">
              <w:t>+ Lab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C2C31" w:rsidRPr="00915B20" w:rsidRDefault="00A82EC7" w:rsidP="00A82EC7">
            <w:pPr>
              <w:jc w:val="center"/>
            </w:pPr>
            <w:r>
              <w:t>---------</w:t>
            </w:r>
          </w:p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5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30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30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  <w:r w:rsidRPr="00915B20">
              <w:rPr>
                <w:b/>
                <w:bCs/>
              </w:rPr>
              <w:t>Tooth Extraction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>
            <w:pPr>
              <w:rPr>
                <w:b/>
                <w:bCs/>
              </w:rPr>
            </w:pP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053379"/>
        </w:tc>
        <w:tc>
          <w:tcPr>
            <w:tcW w:w="1134" w:type="dxa"/>
            <w:shd w:val="pct15" w:color="auto" w:fill="auto"/>
          </w:tcPr>
          <w:p w:rsidR="00053379" w:rsidRPr="00915B20" w:rsidRDefault="00053379"/>
        </w:tc>
      </w:tr>
      <w:tr w:rsidR="0076184E" w:rsidRPr="00915B20" w:rsidTr="00B208D3">
        <w:trPr>
          <w:trHeight w:val="3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71101</w:t>
            </w:r>
          </w:p>
        </w:tc>
        <w:tc>
          <w:tcPr>
            <w:tcW w:w="2906" w:type="dxa"/>
            <w:shd w:val="pct15" w:color="auto" w:fill="auto"/>
            <w:noWrap/>
            <w:hideMark/>
          </w:tcPr>
          <w:p w:rsidR="00053379" w:rsidRPr="00915B20" w:rsidRDefault="00053379">
            <w:r w:rsidRPr="00915B20">
              <w:t>single tooth, uncomplicated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 w:rsidP="00CC2C31">
            <w:pPr>
              <w:jc w:val="right"/>
            </w:pPr>
            <w:r w:rsidRPr="00915B20">
              <w:t>$127.00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CC2C31">
            <w:pPr>
              <w:jc w:val="right"/>
            </w:pPr>
            <w:r w:rsidRPr="00915B20">
              <w:t>$134.33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CC2C31">
            <w:pPr>
              <w:jc w:val="right"/>
            </w:pPr>
            <w:r w:rsidRPr="00915B20">
              <w:t>$134.00</w:t>
            </w:r>
          </w:p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9B3535" w:rsidP="00CC2C31">
            <w:pPr>
              <w:jc w:val="right"/>
            </w:pPr>
            <w:r>
              <w:t>$160.00</w:t>
            </w:r>
          </w:p>
        </w:tc>
        <w:tc>
          <w:tcPr>
            <w:tcW w:w="1134" w:type="dxa"/>
            <w:shd w:val="pct15" w:color="auto" w:fill="auto"/>
          </w:tcPr>
          <w:p w:rsidR="00053379" w:rsidRPr="00915B20" w:rsidRDefault="009B3535" w:rsidP="00CC2C31">
            <w:pPr>
              <w:jc w:val="right"/>
            </w:pPr>
            <w:r>
              <w:t>$38.01</w:t>
            </w:r>
          </w:p>
        </w:tc>
      </w:tr>
      <w:tr w:rsidR="0076184E" w:rsidRPr="00915B20" w:rsidTr="00B208D3">
        <w:trPr>
          <w:trHeight w:val="600"/>
        </w:trPr>
        <w:tc>
          <w:tcPr>
            <w:tcW w:w="936" w:type="dxa"/>
            <w:shd w:val="pct15" w:color="auto" w:fill="auto"/>
            <w:noWrap/>
            <w:hideMark/>
          </w:tcPr>
          <w:p w:rsidR="00053379" w:rsidRPr="00915B20" w:rsidRDefault="00053379" w:rsidP="00915B20">
            <w:r w:rsidRPr="00915B20">
              <w:t>72111</w:t>
            </w:r>
          </w:p>
        </w:tc>
        <w:tc>
          <w:tcPr>
            <w:tcW w:w="2906" w:type="dxa"/>
            <w:shd w:val="pct15" w:color="auto" w:fill="auto"/>
            <w:hideMark/>
          </w:tcPr>
          <w:p w:rsidR="00053379" w:rsidRPr="00915B20" w:rsidRDefault="00053379">
            <w:r w:rsidRPr="00915B20">
              <w:t>single tooth, impacted soft tissue</w:t>
            </w:r>
          </w:p>
        </w:tc>
        <w:tc>
          <w:tcPr>
            <w:tcW w:w="1256" w:type="dxa"/>
            <w:shd w:val="pct15" w:color="auto" w:fill="auto"/>
            <w:noWrap/>
            <w:hideMark/>
          </w:tcPr>
          <w:p w:rsidR="00053379" w:rsidRPr="00915B20" w:rsidRDefault="00053379" w:rsidP="00CC2C31">
            <w:pPr>
              <w:jc w:val="right"/>
            </w:pPr>
            <w:r w:rsidRPr="00915B20">
              <w:t>$241.00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CC2C31">
            <w:pPr>
              <w:jc w:val="right"/>
            </w:pPr>
            <w:r w:rsidRPr="00915B20">
              <w:t>$242.25</w:t>
            </w:r>
          </w:p>
        </w:tc>
        <w:tc>
          <w:tcPr>
            <w:tcW w:w="1134" w:type="dxa"/>
            <w:shd w:val="pct15" w:color="auto" w:fill="auto"/>
            <w:noWrap/>
            <w:hideMark/>
          </w:tcPr>
          <w:p w:rsidR="00053379" w:rsidRPr="00915B20" w:rsidRDefault="00053379" w:rsidP="00CC2C31">
            <w:pPr>
              <w:jc w:val="right"/>
            </w:pPr>
            <w:r w:rsidRPr="00915B20">
              <w:t>$241.00</w:t>
            </w:r>
          </w:p>
        </w:tc>
        <w:tc>
          <w:tcPr>
            <w:tcW w:w="1276" w:type="dxa"/>
            <w:shd w:val="pct15" w:color="auto" w:fill="auto"/>
            <w:noWrap/>
            <w:hideMark/>
          </w:tcPr>
          <w:p w:rsidR="00053379" w:rsidRPr="00915B20" w:rsidRDefault="009B3535" w:rsidP="00CC2C31">
            <w:pPr>
              <w:jc w:val="right"/>
            </w:pPr>
            <w:r>
              <w:t>$245.00</w:t>
            </w:r>
          </w:p>
        </w:tc>
        <w:tc>
          <w:tcPr>
            <w:tcW w:w="1134" w:type="dxa"/>
            <w:shd w:val="pct15" w:color="auto" w:fill="auto"/>
          </w:tcPr>
          <w:p w:rsidR="00053379" w:rsidRPr="00915B20" w:rsidRDefault="009B3535" w:rsidP="00CC2C31">
            <w:pPr>
              <w:jc w:val="right"/>
            </w:pPr>
            <w:r>
              <w:t>$88.69</w:t>
            </w:r>
          </w:p>
        </w:tc>
      </w:tr>
    </w:tbl>
    <w:p w:rsidR="00642A0B" w:rsidRDefault="00642A0B" w:rsidP="00915B20"/>
    <w:p w:rsidR="000812CF" w:rsidRDefault="000812CF" w:rsidP="00915B20">
      <w:pPr>
        <w:rPr>
          <w:b/>
        </w:rPr>
      </w:pPr>
      <w:r w:rsidRPr="00577347">
        <w:rPr>
          <w:b/>
        </w:rPr>
        <w:t>Lab – Laboratory Fees</w:t>
      </w:r>
    </w:p>
    <w:p w:rsidR="00053379" w:rsidRPr="00577347" w:rsidRDefault="00053379" w:rsidP="00915B20">
      <w:pPr>
        <w:rPr>
          <w:b/>
        </w:rPr>
      </w:pPr>
      <w:r>
        <w:rPr>
          <w:b/>
        </w:rPr>
        <w:t>MCCSS – Ministry of Children, Community and Social Services</w:t>
      </w:r>
    </w:p>
    <w:sectPr w:rsidR="00053379" w:rsidRPr="0057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0"/>
    <w:rsid w:val="00053379"/>
    <w:rsid w:val="000812CF"/>
    <w:rsid w:val="000D5988"/>
    <w:rsid w:val="002C4A7C"/>
    <w:rsid w:val="00434C2F"/>
    <w:rsid w:val="004866E4"/>
    <w:rsid w:val="00577347"/>
    <w:rsid w:val="00585F35"/>
    <w:rsid w:val="006044AE"/>
    <w:rsid w:val="00642A0B"/>
    <w:rsid w:val="0076184E"/>
    <w:rsid w:val="00885E11"/>
    <w:rsid w:val="00915B20"/>
    <w:rsid w:val="009B3535"/>
    <w:rsid w:val="00A82EC7"/>
    <w:rsid w:val="00A959A2"/>
    <w:rsid w:val="00AD31D4"/>
    <w:rsid w:val="00B208D3"/>
    <w:rsid w:val="00C74E00"/>
    <w:rsid w:val="00CC2C31"/>
    <w:rsid w:val="00E3313D"/>
    <w:rsid w:val="00EB3C3D"/>
    <w:rsid w:val="00EB45D9"/>
    <w:rsid w:val="00F461E8"/>
    <w:rsid w:val="00F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186BC-E483-4401-A760-C5E205B2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B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23</cp:revision>
  <dcterms:created xsi:type="dcterms:W3CDTF">2019-05-07T02:59:00Z</dcterms:created>
  <dcterms:modified xsi:type="dcterms:W3CDTF">2019-05-14T03:52:00Z</dcterms:modified>
</cp:coreProperties>
</file>